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B2" w:rsidRDefault="009918B2" w:rsidP="009918B2">
      <w:pPr>
        <w:pStyle w:val="af4"/>
        <w:rPr>
          <w:szCs w:val="28"/>
        </w:rPr>
      </w:pPr>
    </w:p>
    <w:p w:rsidR="009918B2" w:rsidRDefault="009918B2" w:rsidP="009918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8B2" w:rsidRDefault="009918B2" w:rsidP="009918B2">
      <w:pPr>
        <w:jc w:val="center"/>
        <w:rPr>
          <w:b/>
        </w:rPr>
      </w:pPr>
    </w:p>
    <w:p w:rsidR="009918B2" w:rsidRDefault="009918B2" w:rsidP="009918B2">
      <w:pPr>
        <w:jc w:val="center"/>
        <w:rPr>
          <w:b/>
        </w:rPr>
      </w:pPr>
    </w:p>
    <w:p w:rsidR="009918B2" w:rsidRDefault="009918B2" w:rsidP="009918B2">
      <w:pPr>
        <w:jc w:val="center"/>
        <w:rPr>
          <w:b/>
        </w:rPr>
      </w:pPr>
    </w:p>
    <w:p w:rsidR="009918B2" w:rsidRDefault="009918B2" w:rsidP="009918B2">
      <w:pPr>
        <w:jc w:val="center"/>
        <w:rPr>
          <w:b/>
        </w:rPr>
      </w:pPr>
    </w:p>
    <w:p w:rsidR="009918B2" w:rsidRPr="00CF27A6" w:rsidRDefault="009918B2" w:rsidP="009918B2">
      <w:pPr>
        <w:jc w:val="center"/>
        <w:rPr>
          <w:b/>
          <w:sz w:val="28"/>
          <w:szCs w:val="28"/>
        </w:rPr>
      </w:pPr>
      <w:r w:rsidRPr="00CF27A6">
        <w:rPr>
          <w:b/>
          <w:sz w:val="28"/>
          <w:szCs w:val="28"/>
        </w:rPr>
        <w:t xml:space="preserve">АДМИНИСТРАЦИЯ МУНИЦИПАЛЬНОГО ОБРАЗОВАНИЯ </w:t>
      </w:r>
    </w:p>
    <w:p w:rsidR="009918B2" w:rsidRPr="00CF27A6" w:rsidRDefault="009918B2" w:rsidP="009918B2">
      <w:pPr>
        <w:jc w:val="center"/>
        <w:rPr>
          <w:b/>
          <w:sz w:val="28"/>
          <w:szCs w:val="28"/>
        </w:rPr>
      </w:pPr>
      <w:r w:rsidRPr="00CF27A6">
        <w:rPr>
          <w:b/>
          <w:sz w:val="28"/>
          <w:szCs w:val="28"/>
        </w:rPr>
        <w:t>«КРАСНИНСКИЙ РАЙОН» СМОЛЕНСКОЙ ОБЛАСТИ</w:t>
      </w:r>
    </w:p>
    <w:p w:rsidR="009918B2" w:rsidRDefault="009918B2" w:rsidP="009918B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18B2" w:rsidRDefault="009918B2" w:rsidP="009918B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18B2" w:rsidRPr="00CF27A6" w:rsidRDefault="009918B2" w:rsidP="009918B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CF27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С Т А Н О В Л Е Н И Е</w:t>
      </w:r>
    </w:p>
    <w:p w:rsidR="009918B2" w:rsidRPr="00CF27A6" w:rsidRDefault="009918B2" w:rsidP="009918B2">
      <w:pPr>
        <w:jc w:val="center"/>
        <w:rPr>
          <w:color w:val="000000" w:themeColor="text1"/>
          <w:sz w:val="32"/>
          <w:szCs w:val="32"/>
        </w:rPr>
      </w:pPr>
    </w:p>
    <w:p w:rsidR="009918B2" w:rsidRPr="00CF27A6" w:rsidRDefault="009918B2" w:rsidP="009918B2">
      <w:pPr>
        <w:jc w:val="both"/>
        <w:rPr>
          <w:u w:val="single"/>
        </w:rPr>
      </w:pPr>
      <w:r w:rsidRPr="00CF27A6">
        <w:t xml:space="preserve">от </w:t>
      </w:r>
      <w:r>
        <w:rPr>
          <w:u w:val="single"/>
        </w:rPr>
        <w:t>16.03</w:t>
      </w:r>
      <w:r w:rsidRPr="00CF27A6">
        <w:rPr>
          <w:u w:val="single"/>
        </w:rPr>
        <w:t>.202</w:t>
      </w:r>
      <w:r>
        <w:rPr>
          <w:u w:val="single"/>
        </w:rPr>
        <w:t>2</w:t>
      </w:r>
      <w:r w:rsidRPr="00CF27A6">
        <w:t xml:space="preserve"> № </w:t>
      </w:r>
      <w:r>
        <w:rPr>
          <w:u w:val="single"/>
        </w:rPr>
        <w:t>104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D8462B" w:rsidRPr="00624192" w:rsidRDefault="00D8462B" w:rsidP="009918B2">
      <w:pPr>
        <w:rPr>
          <w:b/>
          <w:bCs/>
          <w:color w:val="000000" w:themeColor="text1"/>
          <w:sz w:val="28"/>
          <w:szCs w:val="28"/>
        </w:rPr>
      </w:pPr>
    </w:p>
    <w:p w:rsidR="00624192" w:rsidRPr="00D8462B" w:rsidRDefault="00624192" w:rsidP="00D8462B">
      <w:pPr>
        <w:ind w:right="4535"/>
        <w:jc w:val="both"/>
        <w:rPr>
          <w:color w:val="000000"/>
          <w:sz w:val="26"/>
          <w:szCs w:val="26"/>
        </w:rPr>
      </w:pPr>
      <w:r w:rsidRPr="00D8462B">
        <w:rPr>
          <w:bCs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D8462B">
        <w:rPr>
          <w:bCs/>
          <w:color w:val="000000" w:themeColor="text1"/>
          <w:sz w:val="26"/>
          <w:szCs w:val="26"/>
        </w:rPr>
        <w:t>формы проверочного листа</w:t>
      </w:r>
      <w:r w:rsidR="00D47C14" w:rsidRPr="00D8462B">
        <w:rPr>
          <w:bCs/>
          <w:color w:val="000000" w:themeColor="text1"/>
          <w:sz w:val="26"/>
          <w:szCs w:val="26"/>
        </w:rPr>
        <w:t xml:space="preserve">, используемого при </w:t>
      </w:r>
      <w:r w:rsidR="00C360AE" w:rsidRPr="00D8462B">
        <w:rPr>
          <w:bCs/>
          <w:color w:val="000000" w:themeColor="text1"/>
          <w:sz w:val="26"/>
          <w:szCs w:val="26"/>
        </w:rPr>
        <w:t>осуществлении</w:t>
      </w:r>
      <w:bookmarkStart w:id="2" w:name="_Hlk82421409"/>
      <w:bookmarkStart w:id="3" w:name="_Hlk87946242"/>
      <w:bookmarkEnd w:id="0"/>
      <w:r w:rsidR="00966A34" w:rsidRPr="00D8462B">
        <w:rPr>
          <w:bCs/>
          <w:color w:val="000000" w:themeColor="text1"/>
          <w:sz w:val="26"/>
          <w:szCs w:val="26"/>
        </w:rPr>
        <w:t xml:space="preserve"> </w:t>
      </w:r>
      <w:r w:rsidRPr="00D8462B">
        <w:rPr>
          <w:bCs/>
          <w:color w:val="000000" w:themeColor="text1"/>
          <w:sz w:val="26"/>
          <w:szCs w:val="26"/>
        </w:rPr>
        <w:t xml:space="preserve">муниципального </w:t>
      </w:r>
      <w:r w:rsidR="000975D6" w:rsidRPr="00D8462B">
        <w:rPr>
          <w:bCs/>
          <w:color w:val="000000" w:themeColor="text1"/>
          <w:sz w:val="26"/>
          <w:szCs w:val="26"/>
        </w:rPr>
        <w:t xml:space="preserve">жилищного </w:t>
      </w:r>
      <w:r w:rsidRPr="00D8462B">
        <w:rPr>
          <w:bCs/>
          <w:color w:val="000000" w:themeColor="text1"/>
          <w:sz w:val="26"/>
          <w:szCs w:val="26"/>
        </w:rPr>
        <w:t xml:space="preserve">контроля </w:t>
      </w:r>
      <w:bookmarkEnd w:id="1"/>
      <w:bookmarkEnd w:id="2"/>
      <w:bookmarkEnd w:id="3"/>
      <w:r w:rsidR="00D8462B" w:rsidRPr="00D8462B">
        <w:rPr>
          <w:color w:val="000000"/>
          <w:sz w:val="26"/>
          <w:szCs w:val="26"/>
        </w:rPr>
        <w:t>в муниципальном образовании Краснинское городское поселение Краснинского района Смоленской области</w:t>
      </w:r>
    </w:p>
    <w:p w:rsidR="00D8462B" w:rsidRPr="00EF1281" w:rsidRDefault="00D8462B" w:rsidP="00D8462B">
      <w:pPr>
        <w:ind w:right="4535"/>
        <w:jc w:val="both"/>
        <w:rPr>
          <w:color w:val="000000"/>
          <w:sz w:val="28"/>
          <w:szCs w:val="28"/>
        </w:rPr>
      </w:pPr>
    </w:p>
    <w:p w:rsidR="00624192" w:rsidRPr="00EF1281" w:rsidRDefault="00624192" w:rsidP="00624192">
      <w:pPr>
        <w:rPr>
          <w:color w:val="000000" w:themeColor="text1"/>
          <w:sz w:val="28"/>
          <w:szCs w:val="28"/>
        </w:rPr>
      </w:pPr>
    </w:p>
    <w:p w:rsidR="00D8462B" w:rsidRPr="00D8462B" w:rsidRDefault="00624192" w:rsidP="00D8462B">
      <w:pPr>
        <w:ind w:firstLine="709"/>
        <w:jc w:val="both"/>
        <w:rPr>
          <w:color w:val="000000" w:themeColor="text1"/>
          <w:sz w:val="26"/>
          <w:szCs w:val="26"/>
        </w:rPr>
      </w:pPr>
      <w:r w:rsidRPr="00D8462B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D8462B">
        <w:rPr>
          <w:color w:val="000000" w:themeColor="text1"/>
          <w:sz w:val="26"/>
          <w:szCs w:val="26"/>
        </w:rPr>
        <w:t>53</w:t>
      </w:r>
      <w:r w:rsidRPr="00D8462B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CB0707" w:rsidRPr="00D8462B">
        <w:rPr>
          <w:color w:val="000000" w:themeColor="text1"/>
          <w:sz w:val="26"/>
          <w:szCs w:val="26"/>
        </w:rPr>
        <w:t xml:space="preserve"> </w:t>
      </w:r>
      <w:r w:rsidR="000F357B" w:rsidRPr="00D8462B">
        <w:rPr>
          <w:color w:val="000000" w:themeColor="text1"/>
          <w:sz w:val="26"/>
          <w:szCs w:val="26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D8462B" w:rsidRPr="00D8462B">
        <w:rPr>
          <w:color w:val="000000" w:themeColor="text1"/>
          <w:sz w:val="26"/>
          <w:szCs w:val="26"/>
        </w:rPr>
        <w:t xml:space="preserve"> Администрация муниципального образования «Краснинский район» Смоленской области</w:t>
      </w:r>
    </w:p>
    <w:p w:rsidR="00D8462B" w:rsidRPr="00D8462B" w:rsidRDefault="00D8462B" w:rsidP="00D8462B">
      <w:pPr>
        <w:ind w:firstLine="709"/>
        <w:jc w:val="both"/>
        <w:rPr>
          <w:color w:val="000000" w:themeColor="text1"/>
          <w:sz w:val="26"/>
          <w:szCs w:val="26"/>
        </w:rPr>
      </w:pPr>
      <w:r w:rsidRPr="00D8462B">
        <w:rPr>
          <w:color w:val="000000" w:themeColor="text1"/>
          <w:sz w:val="26"/>
          <w:szCs w:val="26"/>
        </w:rPr>
        <w:t>постановляет:</w:t>
      </w:r>
    </w:p>
    <w:p w:rsidR="00D8462B" w:rsidRPr="00EF1281" w:rsidRDefault="00D8462B" w:rsidP="00D8462B">
      <w:pPr>
        <w:jc w:val="both"/>
        <w:rPr>
          <w:color w:val="000000" w:themeColor="text1"/>
          <w:sz w:val="28"/>
          <w:szCs w:val="28"/>
        </w:rPr>
      </w:pPr>
    </w:p>
    <w:p w:rsidR="00D8462B" w:rsidRPr="00D8462B" w:rsidRDefault="00D8462B" w:rsidP="00D8462B">
      <w:pPr>
        <w:ind w:right="-1" w:firstLine="708"/>
        <w:jc w:val="both"/>
        <w:rPr>
          <w:color w:val="000000"/>
          <w:sz w:val="26"/>
          <w:szCs w:val="26"/>
        </w:rPr>
      </w:pPr>
      <w:r w:rsidRPr="00D8462B">
        <w:rPr>
          <w:color w:val="000000" w:themeColor="text1"/>
          <w:sz w:val="26"/>
          <w:szCs w:val="26"/>
        </w:rPr>
        <w:t xml:space="preserve">1. Утвердить </w:t>
      </w:r>
      <w:bookmarkStart w:id="4" w:name="_Hlk82421551"/>
      <w:r w:rsidRPr="00D8462B">
        <w:rPr>
          <w:color w:val="000000" w:themeColor="text1"/>
          <w:sz w:val="26"/>
          <w:szCs w:val="26"/>
        </w:rPr>
        <w:t xml:space="preserve">форму проверочного листа, используемого </w:t>
      </w:r>
      <w:bookmarkEnd w:id="4"/>
      <w:r w:rsidRPr="00D8462B">
        <w:rPr>
          <w:bCs/>
          <w:color w:val="000000" w:themeColor="text1"/>
          <w:sz w:val="26"/>
          <w:szCs w:val="26"/>
        </w:rPr>
        <w:t xml:space="preserve">при осуществлении муниципального жилищного контроля </w:t>
      </w:r>
      <w:r w:rsidRPr="00D8462B">
        <w:rPr>
          <w:color w:val="000000"/>
          <w:sz w:val="26"/>
          <w:szCs w:val="26"/>
        </w:rPr>
        <w:t xml:space="preserve">в муниципальном образовании Краснинское городское поселение Краснинского района Смоленской области </w:t>
      </w:r>
      <w:r w:rsidRPr="00D8462B">
        <w:rPr>
          <w:color w:val="000000" w:themeColor="text1"/>
          <w:sz w:val="26"/>
          <w:szCs w:val="26"/>
        </w:rPr>
        <w:t>согласно приложению.</w:t>
      </w:r>
    </w:p>
    <w:p w:rsidR="00D8462B" w:rsidRPr="00D8462B" w:rsidRDefault="00EF1281" w:rsidP="00D8462B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D8462B" w:rsidRPr="00441014">
        <w:rPr>
          <w:color w:val="000000"/>
          <w:sz w:val="26"/>
          <w:szCs w:val="26"/>
        </w:rPr>
        <w:t xml:space="preserve">. Разместить настоящее постановление на официальном сайте муниципального образования «Краснинский район» Смоленской области в информационно-коммуникационной сети «Интернет» </w:t>
      </w:r>
      <w:r w:rsidR="00D8462B" w:rsidRPr="00441014">
        <w:rPr>
          <w:color w:val="000000" w:themeColor="text1"/>
          <w:sz w:val="26"/>
          <w:szCs w:val="26"/>
        </w:rPr>
        <w:t xml:space="preserve">и обеспечить </w:t>
      </w:r>
      <w:r w:rsidR="00D8462B" w:rsidRPr="00441014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D8462B" w:rsidRPr="00441014">
        <w:rPr>
          <w:color w:val="000000" w:themeColor="text1"/>
          <w:sz w:val="26"/>
          <w:szCs w:val="26"/>
        </w:rPr>
        <w:t>.</w:t>
      </w:r>
    </w:p>
    <w:p w:rsidR="00D8462B" w:rsidRPr="00EF1281" w:rsidRDefault="00D8462B" w:rsidP="00D8462B">
      <w:pPr>
        <w:ind w:firstLine="709"/>
        <w:jc w:val="both"/>
        <w:rPr>
          <w:color w:val="000000"/>
          <w:sz w:val="28"/>
          <w:szCs w:val="28"/>
        </w:rPr>
      </w:pPr>
    </w:p>
    <w:p w:rsidR="00D8462B" w:rsidRPr="00EF1281" w:rsidRDefault="00D8462B" w:rsidP="00D8462B">
      <w:pPr>
        <w:ind w:firstLine="709"/>
        <w:jc w:val="both"/>
        <w:rPr>
          <w:color w:val="000000"/>
          <w:sz w:val="28"/>
          <w:szCs w:val="28"/>
        </w:rPr>
      </w:pPr>
    </w:p>
    <w:p w:rsidR="00D8462B" w:rsidRPr="00D8462B" w:rsidRDefault="00D8462B" w:rsidP="00D8462B">
      <w:pPr>
        <w:rPr>
          <w:color w:val="000000"/>
          <w:sz w:val="26"/>
          <w:szCs w:val="26"/>
        </w:rPr>
      </w:pPr>
      <w:r w:rsidRPr="00D8462B">
        <w:rPr>
          <w:color w:val="000000"/>
          <w:sz w:val="26"/>
          <w:szCs w:val="26"/>
        </w:rPr>
        <w:t>Глава муниципального образования</w:t>
      </w:r>
    </w:p>
    <w:p w:rsidR="00D8462B" w:rsidRPr="00D8462B" w:rsidRDefault="00D8462B" w:rsidP="00D8462B">
      <w:pPr>
        <w:rPr>
          <w:color w:val="000000"/>
          <w:sz w:val="26"/>
          <w:szCs w:val="26"/>
        </w:rPr>
      </w:pPr>
      <w:r w:rsidRPr="00D8462B">
        <w:rPr>
          <w:color w:val="000000"/>
          <w:sz w:val="26"/>
          <w:szCs w:val="26"/>
        </w:rPr>
        <w:t xml:space="preserve">«Краснинский район» </w:t>
      </w:r>
    </w:p>
    <w:p w:rsidR="00D8462B" w:rsidRPr="00D8462B" w:rsidRDefault="00D8462B" w:rsidP="00D8462B">
      <w:pPr>
        <w:rPr>
          <w:b/>
          <w:color w:val="000000"/>
          <w:sz w:val="26"/>
          <w:szCs w:val="26"/>
        </w:rPr>
      </w:pPr>
      <w:r w:rsidRPr="00D8462B">
        <w:rPr>
          <w:color w:val="000000"/>
          <w:sz w:val="26"/>
          <w:szCs w:val="26"/>
        </w:rPr>
        <w:t xml:space="preserve">Смоленской области                                                                      </w:t>
      </w:r>
      <w:r>
        <w:rPr>
          <w:color w:val="000000"/>
          <w:sz w:val="26"/>
          <w:szCs w:val="26"/>
        </w:rPr>
        <w:t xml:space="preserve">           </w:t>
      </w:r>
      <w:r w:rsidR="00682904">
        <w:rPr>
          <w:color w:val="000000"/>
          <w:sz w:val="26"/>
          <w:szCs w:val="26"/>
        </w:rPr>
        <w:t xml:space="preserve"> </w:t>
      </w:r>
      <w:r w:rsidRPr="00D8462B">
        <w:rPr>
          <w:b/>
          <w:color w:val="000000"/>
          <w:sz w:val="26"/>
          <w:szCs w:val="26"/>
        </w:rPr>
        <w:t>С.В. Архипенков</w:t>
      </w:r>
    </w:p>
    <w:p w:rsidR="00624192" w:rsidRDefault="00624192" w:rsidP="00D8462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82904" w:rsidRDefault="00682904" w:rsidP="00D8462B">
      <w:pPr>
        <w:tabs>
          <w:tab w:val="num" w:pos="200"/>
        </w:tabs>
        <w:ind w:left="5387"/>
        <w:outlineLvl w:val="0"/>
        <w:rPr>
          <w:color w:val="000000" w:themeColor="text1"/>
          <w:sz w:val="28"/>
          <w:szCs w:val="28"/>
        </w:rPr>
        <w:sectPr w:rsidR="00682904" w:rsidSect="00682904">
          <w:headerReference w:type="default" r:id="rId8"/>
          <w:footerReference w:type="default" r:id="rId9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624192" w:rsidRPr="00624192" w:rsidRDefault="00624192" w:rsidP="00D8462B">
      <w:pPr>
        <w:tabs>
          <w:tab w:val="num" w:pos="200"/>
        </w:tabs>
        <w:ind w:left="5387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D8462B" w:rsidRDefault="00624192" w:rsidP="00D8462B">
      <w:pPr>
        <w:ind w:left="5387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</w:t>
      </w:r>
      <w:r w:rsidR="00D8462B">
        <w:rPr>
          <w:color w:val="000000" w:themeColor="text1"/>
          <w:sz w:val="28"/>
          <w:szCs w:val="28"/>
        </w:rPr>
        <w:t>А</w:t>
      </w:r>
      <w:r w:rsidRPr="00624192">
        <w:rPr>
          <w:color w:val="000000" w:themeColor="text1"/>
          <w:sz w:val="28"/>
          <w:szCs w:val="28"/>
        </w:rPr>
        <w:t xml:space="preserve">дминистрации </w:t>
      </w:r>
      <w:r w:rsidR="00D8462B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D8462B" w:rsidRDefault="00D8462B" w:rsidP="00D8462B">
      <w:pPr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«Краснинский район» </w:t>
      </w:r>
    </w:p>
    <w:p w:rsidR="00624192" w:rsidRPr="00624192" w:rsidRDefault="00D8462B" w:rsidP="00D8462B">
      <w:pPr>
        <w:ind w:left="5387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Смоленской области</w:t>
      </w:r>
    </w:p>
    <w:p w:rsidR="00624192" w:rsidRPr="00624192" w:rsidRDefault="009918B2" w:rsidP="00D8462B">
      <w:pPr>
        <w:tabs>
          <w:tab w:val="num" w:pos="200"/>
        </w:tabs>
        <w:ind w:left="5387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Pr="00694143">
        <w:rPr>
          <w:color w:val="000000" w:themeColor="text1"/>
          <w:sz w:val="28"/>
          <w:szCs w:val="28"/>
          <w:u w:val="single"/>
        </w:rPr>
        <w:t>16.03.</w:t>
      </w:r>
      <w:r w:rsidR="00624192" w:rsidRPr="00694143">
        <w:rPr>
          <w:color w:val="000000" w:themeColor="text1"/>
          <w:sz w:val="28"/>
          <w:szCs w:val="28"/>
          <w:u w:val="single"/>
        </w:rPr>
        <w:t>202</w:t>
      </w:r>
      <w:r w:rsidR="00FA2D33" w:rsidRPr="00694143">
        <w:rPr>
          <w:color w:val="000000" w:themeColor="text1"/>
          <w:sz w:val="28"/>
          <w:szCs w:val="28"/>
          <w:u w:val="single"/>
        </w:rPr>
        <w:t>2</w:t>
      </w:r>
      <w:r>
        <w:rPr>
          <w:color w:val="000000" w:themeColor="text1"/>
          <w:sz w:val="28"/>
          <w:szCs w:val="28"/>
        </w:rPr>
        <w:t xml:space="preserve"> № </w:t>
      </w:r>
      <w:r w:rsidRPr="00694143">
        <w:rPr>
          <w:color w:val="000000" w:themeColor="text1"/>
          <w:sz w:val="28"/>
          <w:szCs w:val="28"/>
          <w:u w:val="single"/>
        </w:rPr>
        <w:t>104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647D4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</w:p>
    <w:p w:rsidR="00624192" w:rsidRPr="00D647D4" w:rsidRDefault="0040147C" w:rsidP="00D647D4">
      <w:pPr>
        <w:jc w:val="center"/>
        <w:rPr>
          <w:b/>
          <w:bCs/>
          <w:color w:val="000000"/>
          <w:sz w:val="28"/>
          <w:szCs w:val="28"/>
        </w:rPr>
      </w:pPr>
      <w:r w:rsidRPr="00DB1016">
        <w:rPr>
          <w:b/>
          <w:bCs/>
          <w:color w:val="000000"/>
          <w:sz w:val="28"/>
          <w:szCs w:val="28"/>
        </w:rPr>
        <w:t xml:space="preserve">в </w:t>
      </w:r>
      <w:r w:rsidR="00D647D4">
        <w:rPr>
          <w:b/>
          <w:bCs/>
          <w:color w:val="000000"/>
          <w:sz w:val="28"/>
          <w:szCs w:val="28"/>
        </w:rPr>
        <w:t>муниципальном образовании Краснинское городское поселение Краснинского района Смоленской области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966A3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Pr="00A606C4" w:rsidRDefault="00141D8D">
      <w:pPr>
        <w:rPr>
          <w:sz w:val="18"/>
          <w:szCs w:val="18"/>
        </w:rPr>
      </w:pPr>
    </w:p>
    <w:tbl>
      <w:tblPr>
        <w:tblStyle w:val="a7"/>
        <w:tblW w:w="10359" w:type="dxa"/>
        <w:tblInd w:w="108" w:type="dxa"/>
        <w:tblLook w:val="04A0"/>
      </w:tblPr>
      <w:tblGrid>
        <w:gridCol w:w="739"/>
        <w:gridCol w:w="2805"/>
        <w:gridCol w:w="2172"/>
        <w:gridCol w:w="451"/>
        <w:gridCol w:w="568"/>
        <w:gridCol w:w="1657"/>
        <w:gridCol w:w="1967"/>
      </w:tblGrid>
      <w:tr w:rsidR="00C02F91" w:rsidRPr="00635EAE" w:rsidTr="00966A34">
        <w:trPr>
          <w:trHeight w:val="2870"/>
        </w:trPr>
        <w:tc>
          <w:tcPr>
            <w:tcW w:w="73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8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966A34">
        <w:tc>
          <w:tcPr>
            <w:tcW w:w="739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805" w:type="dxa"/>
            <w:vMerge/>
          </w:tcPr>
          <w:p w:rsidR="00FD5534" w:rsidRPr="00635EAE" w:rsidRDefault="00FD5534" w:rsidP="00FD5534"/>
        </w:tc>
        <w:tc>
          <w:tcPr>
            <w:tcW w:w="2172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7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 xml:space="preserve">юридических лиц, индивидуальных предпринимателей, осуществляющих управление многоквартирными домами, в </w:t>
            </w:r>
            <w:r w:rsidRPr="001A42F8">
              <w:lastRenderedPageBreak/>
              <w:t>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CC4E8D" w:rsidP="00FD5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2805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CB7371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172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A606C4" w:rsidTr="00966A34">
        <w:tc>
          <w:tcPr>
            <w:tcW w:w="739" w:type="dxa"/>
          </w:tcPr>
          <w:p w:rsidR="003774A3" w:rsidRPr="00A606C4" w:rsidRDefault="00AF5333" w:rsidP="00FD5534">
            <w:pPr>
              <w:jc w:val="center"/>
            </w:pPr>
            <w:r w:rsidRPr="00A606C4">
              <w:t>2</w:t>
            </w:r>
          </w:p>
        </w:tc>
        <w:tc>
          <w:tcPr>
            <w:tcW w:w="2805" w:type="dxa"/>
          </w:tcPr>
          <w:p w:rsidR="003774A3" w:rsidRPr="00A606C4" w:rsidRDefault="0040610D" w:rsidP="00B72A78">
            <w:pPr>
              <w:jc w:val="both"/>
            </w:pPr>
            <w:r w:rsidRPr="00A606C4">
              <w:t xml:space="preserve">Соблюдается срок полномочий правления </w:t>
            </w:r>
            <w:r w:rsidR="002E4E70" w:rsidRPr="00A606C4">
              <w:t>товарищества собственников жилья</w:t>
            </w:r>
            <w:r w:rsidRPr="00A606C4">
              <w:t xml:space="preserve">, определенный уставом </w:t>
            </w:r>
            <w:r w:rsidR="002E4E70" w:rsidRPr="00A606C4">
              <w:t>товарищества собственников жилья</w:t>
            </w:r>
            <w:r w:rsidR="00A24980" w:rsidRPr="00A606C4">
              <w:t xml:space="preserve"> (в случае создания товарищества собственников жилья)</w:t>
            </w:r>
            <w:r w:rsidRPr="00A606C4">
              <w:t>?</w:t>
            </w:r>
          </w:p>
        </w:tc>
        <w:tc>
          <w:tcPr>
            <w:tcW w:w="2172" w:type="dxa"/>
          </w:tcPr>
          <w:p w:rsidR="003774A3" w:rsidRPr="00A606C4" w:rsidRDefault="0040610D" w:rsidP="00B72A78">
            <w:pPr>
              <w:jc w:val="center"/>
            </w:pPr>
            <w:r w:rsidRPr="00A606C4">
              <w:t>Часть 2 статьи 147 ЖК РФ</w:t>
            </w:r>
          </w:p>
        </w:tc>
        <w:tc>
          <w:tcPr>
            <w:tcW w:w="451" w:type="dxa"/>
          </w:tcPr>
          <w:p w:rsidR="003774A3" w:rsidRPr="00A606C4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3774A3" w:rsidRPr="00A606C4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3774A3" w:rsidRPr="00A606C4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3774A3" w:rsidRPr="00A606C4" w:rsidRDefault="003774A3" w:rsidP="00FD5534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CB0707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CB0707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="00CB7371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</w:t>
            </w:r>
            <w:r>
              <w:lastRenderedPageBreak/>
              <w:t>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172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805" w:type="dxa"/>
            <w:tcBorders>
              <w:bottom w:val="nil"/>
            </w:tcBorders>
          </w:tcPr>
          <w:p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CB0707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966A34">
        <w:tc>
          <w:tcPr>
            <w:tcW w:w="739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172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72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172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1</w:t>
            </w:r>
          </w:p>
        </w:tc>
        <w:tc>
          <w:tcPr>
            <w:tcW w:w="2805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805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966A34">
        <w:tc>
          <w:tcPr>
            <w:tcW w:w="739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805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966A34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="00966A34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72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805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172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805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172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805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</w:t>
            </w:r>
            <w:r w:rsidRPr="00681B49">
              <w:lastRenderedPageBreak/>
              <w:t xml:space="preserve">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72" w:type="dxa"/>
          </w:tcPr>
          <w:p w:rsidR="00681B49" w:rsidRDefault="00B72C6B" w:rsidP="00B72A78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966A34"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966A34">
        <w:tc>
          <w:tcPr>
            <w:tcW w:w="739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805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72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805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CB0707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CB0707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</w:t>
            </w:r>
            <w:r w:rsidRPr="00D84AD5">
              <w:lastRenderedPageBreak/>
              <w:t>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966A34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 w:rsidR="00966A34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966A34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805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805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72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</w:t>
            </w:r>
            <w:r w:rsidRPr="00D12761">
              <w:lastRenderedPageBreak/>
              <w:t>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805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172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966A34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805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805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805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805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 xml:space="preserve">осуществляется </w:t>
            </w:r>
            <w:r w:rsidRPr="00B30006">
              <w:lastRenderedPageBreak/>
              <w:t>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966A34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72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966A34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172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805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805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966A34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 xml:space="preserve">а в случае управления </w:t>
            </w:r>
            <w:r w:rsidRPr="007A7A99">
              <w:lastRenderedPageBreak/>
              <w:t>многоквартирным домом</w:t>
            </w:r>
            <w:r w:rsidR="00966A34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2805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72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172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172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805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805" w:type="dxa"/>
          </w:tcPr>
          <w:p w:rsidR="00AF632E" w:rsidRDefault="00AF632E" w:rsidP="00CB43DB">
            <w:pPr>
              <w:jc w:val="both"/>
            </w:pPr>
            <w:r w:rsidRPr="00AF632E">
              <w:t xml:space="preserve">в журнале осмотров - выявленные в процессе осмотров (общих, частичных, внеочередных) неисправности и повреждения, а также техническое состояние </w:t>
            </w:r>
            <w:r w:rsidRPr="00AF632E">
              <w:lastRenderedPageBreak/>
              <w:t>элементов дома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966A34">
        <w:tc>
          <w:tcPr>
            <w:tcW w:w="739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805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966A34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966A34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72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805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</w:t>
            </w:r>
            <w:r w:rsidRPr="003867AD">
              <w:lastRenderedPageBreak/>
              <w:t>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72" w:type="dxa"/>
          </w:tcPr>
          <w:p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805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172" w:type="dxa"/>
          </w:tcPr>
          <w:p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 w:rsidP="00CB7371">
      <w:pPr>
        <w:spacing w:after="160" w:line="259" w:lineRule="auto"/>
      </w:pPr>
    </w:p>
    <w:sectPr w:rsidR="004B01CA" w:rsidSect="00757CBE"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D7" w:rsidRDefault="00942CD7" w:rsidP="00624192">
      <w:r>
        <w:separator/>
      </w:r>
    </w:p>
  </w:endnote>
  <w:endnote w:type="continuationSeparator" w:id="1">
    <w:p w:rsidR="00942CD7" w:rsidRDefault="00942CD7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D7" w:rsidRDefault="00942CD7" w:rsidP="00624192">
      <w:r>
        <w:separator/>
      </w:r>
    </w:p>
  </w:footnote>
  <w:footnote w:type="continuationSeparator" w:id="1">
    <w:p w:rsidR="00942CD7" w:rsidRDefault="00942CD7" w:rsidP="00624192">
      <w:r>
        <w:continuationSeparator/>
      </w:r>
    </w:p>
  </w:footnote>
  <w:footnote w:id="2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09969"/>
    </w:sdtPr>
    <w:sdtContent>
      <w:p w:rsidR="00E9347D" w:rsidRDefault="00720FA1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A15FD6">
          <w:rPr>
            <w:noProof/>
          </w:rPr>
          <w:t>15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2785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C679D"/>
    <w:rsid w:val="002D1E66"/>
    <w:rsid w:val="002E26CC"/>
    <w:rsid w:val="002E4E70"/>
    <w:rsid w:val="002F0C44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E74CF"/>
    <w:rsid w:val="0040147C"/>
    <w:rsid w:val="0040610D"/>
    <w:rsid w:val="00410CF4"/>
    <w:rsid w:val="0044007A"/>
    <w:rsid w:val="00441014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C4229"/>
    <w:rsid w:val="004D3153"/>
    <w:rsid w:val="004F1A1C"/>
    <w:rsid w:val="00512311"/>
    <w:rsid w:val="005313CF"/>
    <w:rsid w:val="0053533C"/>
    <w:rsid w:val="005577C5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2F03"/>
    <w:rsid w:val="00674196"/>
    <w:rsid w:val="006814B7"/>
    <w:rsid w:val="00681B49"/>
    <w:rsid w:val="00682904"/>
    <w:rsid w:val="00694143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20FA1"/>
    <w:rsid w:val="0072789A"/>
    <w:rsid w:val="00731232"/>
    <w:rsid w:val="00732302"/>
    <w:rsid w:val="00736F78"/>
    <w:rsid w:val="00742273"/>
    <w:rsid w:val="00743479"/>
    <w:rsid w:val="007472BA"/>
    <w:rsid w:val="00757CBE"/>
    <w:rsid w:val="0076169D"/>
    <w:rsid w:val="00776576"/>
    <w:rsid w:val="0077759E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42CD7"/>
    <w:rsid w:val="00950BD7"/>
    <w:rsid w:val="00951819"/>
    <w:rsid w:val="00956595"/>
    <w:rsid w:val="00966A34"/>
    <w:rsid w:val="00973E82"/>
    <w:rsid w:val="009918B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15FD6"/>
    <w:rsid w:val="00A24980"/>
    <w:rsid w:val="00A2596B"/>
    <w:rsid w:val="00A44908"/>
    <w:rsid w:val="00A47BD8"/>
    <w:rsid w:val="00A56CB3"/>
    <w:rsid w:val="00A606C4"/>
    <w:rsid w:val="00A63652"/>
    <w:rsid w:val="00A85D73"/>
    <w:rsid w:val="00AA3E8F"/>
    <w:rsid w:val="00AB2F18"/>
    <w:rsid w:val="00AD0B7A"/>
    <w:rsid w:val="00AE7D68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9361C"/>
    <w:rsid w:val="00CB0707"/>
    <w:rsid w:val="00CB23A3"/>
    <w:rsid w:val="00CB43DB"/>
    <w:rsid w:val="00CB7371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647D4"/>
    <w:rsid w:val="00D70BB5"/>
    <w:rsid w:val="00D73B80"/>
    <w:rsid w:val="00D7658D"/>
    <w:rsid w:val="00D8462B"/>
    <w:rsid w:val="00D84AD5"/>
    <w:rsid w:val="00D90D6E"/>
    <w:rsid w:val="00D914D6"/>
    <w:rsid w:val="00D91989"/>
    <w:rsid w:val="00DA4823"/>
    <w:rsid w:val="00DB08D3"/>
    <w:rsid w:val="00DB0AB9"/>
    <w:rsid w:val="00DB1016"/>
    <w:rsid w:val="00DB1CC1"/>
    <w:rsid w:val="00DB39DA"/>
    <w:rsid w:val="00DB4A3E"/>
    <w:rsid w:val="00DB594E"/>
    <w:rsid w:val="00DB5997"/>
    <w:rsid w:val="00DC3789"/>
    <w:rsid w:val="00DD5027"/>
    <w:rsid w:val="00DE7705"/>
    <w:rsid w:val="00E03EC4"/>
    <w:rsid w:val="00E25C55"/>
    <w:rsid w:val="00E57B68"/>
    <w:rsid w:val="00E61235"/>
    <w:rsid w:val="00E66C4E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A3AE5"/>
    <w:rsid w:val="00EB2736"/>
    <w:rsid w:val="00EB6F30"/>
    <w:rsid w:val="00EB78CB"/>
    <w:rsid w:val="00EC5435"/>
    <w:rsid w:val="00ED35D2"/>
    <w:rsid w:val="00EE0C39"/>
    <w:rsid w:val="00EE30EE"/>
    <w:rsid w:val="00EF1281"/>
    <w:rsid w:val="00EF4E5C"/>
    <w:rsid w:val="00F052A4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18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D846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4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8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4">
    <w:name w:val="Title"/>
    <w:basedOn w:val="a"/>
    <w:link w:val="af5"/>
    <w:qFormat/>
    <w:rsid w:val="009918B2"/>
    <w:pPr>
      <w:autoSpaceDE w:val="0"/>
      <w:autoSpaceDN w:val="0"/>
      <w:adjustRightInd w:val="0"/>
      <w:spacing w:line="300" w:lineRule="auto"/>
      <w:ind w:firstLine="480"/>
      <w:jc w:val="center"/>
    </w:pPr>
    <w:rPr>
      <w:sz w:val="28"/>
      <w:szCs w:val="16"/>
    </w:rPr>
  </w:style>
  <w:style w:type="character" w:customStyle="1" w:styleId="af5">
    <w:name w:val="Название Знак"/>
    <w:basedOn w:val="a0"/>
    <w:link w:val="af4"/>
    <w:rsid w:val="009918B2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2022-03-16T06:12:00Z</cp:lastPrinted>
  <dcterms:created xsi:type="dcterms:W3CDTF">2022-03-21T13:14:00Z</dcterms:created>
  <dcterms:modified xsi:type="dcterms:W3CDTF">2022-03-21T13:14:00Z</dcterms:modified>
</cp:coreProperties>
</file>