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СВЕДЕНИЯ 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депутатов </w:t>
      </w:r>
      <w:r w:rsidRPr="00D16DD3">
        <w:rPr>
          <w:bCs/>
          <w:sz w:val="28"/>
          <w:szCs w:val="28"/>
        </w:rPr>
        <w:t>и членов их семей</w:t>
      </w:r>
    </w:p>
    <w:p w:rsidR="009A5983" w:rsidRPr="006E2D5C" w:rsidRDefault="009A5983" w:rsidP="009A598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депутатов </w:t>
      </w:r>
      <w:r w:rsidR="00144623">
        <w:rPr>
          <w:b/>
          <w:bCs/>
          <w:sz w:val="28"/>
          <w:szCs w:val="28"/>
        </w:rPr>
        <w:t>Гусинского сельского поселения Краснинского района Смоленской области</w:t>
      </w:r>
    </w:p>
    <w:p w:rsidR="009A5983" w:rsidRPr="00D16DD3" w:rsidRDefault="009A5983" w:rsidP="009A5983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D16DD3">
        <w:rPr>
          <w:bCs/>
          <w:sz w:val="28"/>
          <w:szCs w:val="28"/>
        </w:rPr>
        <w:t xml:space="preserve">за период с </w:t>
      </w:r>
      <w:r w:rsidR="00144623">
        <w:rPr>
          <w:bCs/>
          <w:sz w:val="28"/>
          <w:szCs w:val="28"/>
        </w:rPr>
        <w:t>0</w:t>
      </w:r>
      <w:r w:rsidR="00A84EEA">
        <w:rPr>
          <w:bCs/>
          <w:sz w:val="28"/>
          <w:szCs w:val="28"/>
        </w:rPr>
        <w:t>1 января по 31 декабря 2020</w:t>
      </w:r>
      <w:r w:rsidRPr="00D16DD3">
        <w:rPr>
          <w:bCs/>
          <w:sz w:val="28"/>
          <w:szCs w:val="28"/>
        </w:rPr>
        <w:t xml:space="preserve"> года</w:t>
      </w:r>
    </w:p>
    <w:p w:rsidR="009A5983" w:rsidRDefault="009A5983" w:rsidP="009A5983">
      <w:pPr>
        <w:autoSpaceDE w:val="0"/>
        <w:autoSpaceDN w:val="0"/>
        <w:adjustRightInd w:val="0"/>
        <w:ind w:firstLine="540"/>
        <w:jc w:val="center"/>
        <w:rPr>
          <w:sz w:val="14"/>
          <w:szCs w:val="14"/>
        </w:rPr>
      </w:pPr>
    </w:p>
    <w:tbl>
      <w:tblPr>
        <w:tblW w:w="153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1414"/>
        <w:gridCol w:w="1851"/>
        <w:gridCol w:w="841"/>
        <w:gridCol w:w="1559"/>
        <w:gridCol w:w="1713"/>
        <w:gridCol w:w="1549"/>
        <w:gridCol w:w="1562"/>
        <w:gridCol w:w="997"/>
        <w:gridCol w:w="1564"/>
      </w:tblGrid>
      <w:tr w:rsidR="009A5983" w:rsidTr="007A3F4F"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</w:t>
            </w:r>
            <w:r>
              <w:softHyphen/>
              <w:t>дах, об имуществе и обязательствах имущественного характера которых указываются сведения (фамилия, имя, отчество, должность)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CE7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Деклари</w:t>
            </w:r>
            <w:r w:rsidR="00542CE7">
              <w:t>ро</w:t>
            </w:r>
            <w:r w:rsidR="00542CE7">
              <w:softHyphen/>
              <w:t>ванный годо</w:t>
            </w:r>
            <w:r w:rsidR="00542CE7">
              <w:softHyphen/>
              <w:t>вой доход за 2020</w:t>
            </w:r>
          </w:p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 год (руб.)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принадлежащих на праве собственности/ источники получения средств, за счет которых приобретено данное имущество*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транс</w:t>
            </w:r>
            <w:r>
              <w:softHyphen/>
              <w:t>портных средств, принадлежащих на праве собствен</w:t>
            </w:r>
            <w:r>
              <w:softHyphen/>
              <w:t>ности (вид, марка)/ источники получения средств, за счет которых приобретено данное имущество*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Иное имущество/ источники получения средств, за счет которых приобретено данное имущество**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9A5983" w:rsidTr="007A3F4F"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т.п.), вид собственности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83" w:rsidRDefault="009A5983" w:rsidP="008549D4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 (жилой дом, квартира, земельный участок и т.п.)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площадь (кв. м)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9A5983" w:rsidTr="007A3F4F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83" w:rsidRDefault="009A5983" w:rsidP="008549D4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Pr="00B83542" w:rsidRDefault="001838FA" w:rsidP="008549D4">
            <w:pPr>
              <w:autoSpaceDE w:val="0"/>
              <w:autoSpaceDN w:val="0"/>
              <w:adjustRightInd w:val="0"/>
              <w:rPr>
                <w:b/>
              </w:rPr>
            </w:pPr>
            <w:r w:rsidRPr="00B83542">
              <w:rPr>
                <w:b/>
              </w:rPr>
              <w:t xml:space="preserve">Хлебникова Наталья Викторовна, </w:t>
            </w:r>
            <w:r w:rsidRPr="001838FA">
              <w:t>Глава муниципального образования</w:t>
            </w:r>
            <w:r>
              <w:t>, депутат Совета депутатов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A84EEA" w:rsidP="008549D4">
            <w:pPr>
              <w:autoSpaceDE w:val="0"/>
              <w:autoSpaceDN w:val="0"/>
              <w:adjustRightInd w:val="0"/>
              <w:jc w:val="center"/>
            </w:pPr>
            <w:r>
              <w:t>501865,67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2575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  <w:r w:rsidR="009C6F9D">
              <w:t xml:space="preserve">, </w:t>
            </w:r>
            <w:proofErr w:type="gramStart"/>
            <w:r w:rsidR="009C6F9D"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76,9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183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49,5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800D9C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9C6F9D" w:rsidP="008549D4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1838FA">
              <w:t>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1838FA">
            <w:pPr>
              <w:jc w:val="center"/>
            </w:pPr>
            <w:r w:rsidRPr="00C51825"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1838FA" w:rsidTr="007A3F4F">
        <w:trPr>
          <w:trHeight w:val="34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9C6F9D" w:rsidP="00500BB6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="00832FA4">
              <w:t>вартира, 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FA" w:rsidRPr="00C51825" w:rsidRDefault="001838FA" w:rsidP="001838FA">
            <w:pPr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8FA" w:rsidRDefault="001838FA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A2BA5" w:rsidTr="00A84EEA">
        <w:trPr>
          <w:trHeight w:val="100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Pr="00A41F4B" w:rsidRDefault="00AA2BA5" w:rsidP="008549D4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721679,19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 xml:space="preserve">Земельный участок, ЛПХ, </w:t>
            </w:r>
            <w:proofErr w:type="gramStart"/>
            <w:r>
              <w:t>общая</w:t>
            </w:r>
            <w:proofErr w:type="gramEnd"/>
            <w:r>
              <w:t xml:space="preserve">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3000,0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543AA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543AA5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A2BA5" w:rsidTr="004E3092">
        <w:trPr>
          <w:trHeight w:val="690"/>
        </w:trPr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22,0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AC5E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A2BA5" w:rsidTr="002D2E62">
        <w:trPr>
          <w:trHeight w:val="495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дом, </w:t>
            </w:r>
          </w:p>
          <w:p w:rsidR="00AA2BA5" w:rsidRDefault="00AA2BA5" w:rsidP="00A84EEA">
            <w:pPr>
              <w:autoSpaceDE w:val="0"/>
              <w:autoSpaceDN w:val="0"/>
              <w:adjustRightInd w:val="0"/>
              <w:jc w:val="center"/>
            </w:pPr>
            <w:r>
              <w:t>индивидуальная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246,0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Беларусь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AC5E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</w:tr>
      <w:tr w:rsidR="00AA2BA5" w:rsidTr="006B24E6">
        <w:trPr>
          <w:trHeight w:val="3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Pr="00F50D90" w:rsidRDefault="00AA2BA5" w:rsidP="008549D4">
            <w:pPr>
              <w:autoSpaceDE w:val="0"/>
              <w:autoSpaceDN w:val="0"/>
              <w:adjustRightInd w:val="0"/>
            </w:pPr>
            <w:r>
              <w:lastRenderedPageBreak/>
              <w:t xml:space="preserve">Несовершеннолетний </w:t>
            </w:r>
            <w:proofErr w:type="spellStart"/>
            <w:r>
              <w:t>ребенок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46,8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AA2BA5" w:rsidTr="006B24E6">
        <w:trPr>
          <w:trHeight w:val="510"/>
        </w:trPr>
        <w:tc>
          <w:tcPr>
            <w:tcW w:w="2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AA2BA5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BA5" w:rsidRDefault="00AA2BA5" w:rsidP="008549D4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Pr="00D365C4" w:rsidRDefault="009C6F9D" w:rsidP="00D365C4">
      <w:pPr>
        <w:suppressAutoHyphens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D365C4">
        <w:rPr>
          <w:color w:val="000000" w:themeColor="text1"/>
          <w:sz w:val="28"/>
          <w:szCs w:val="28"/>
        </w:rPr>
        <w:t xml:space="preserve">В соответствии </w:t>
      </w:r>
      <w:r w:rsidR="0014243A" w:rsidRPr="00D365C4">
        <w:rPr>
          <w:color w:val="000000" w:themeColor="text1"/>
          <w:sz w:val="28"/>
          <w:szCs w:val="28"/>
        </w:rPr>
        <w:t>с действующим законодательством</w:t>
      </w:r>
      <w:r w:rsidR="00D365C4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14243A" w:rsidRPr="00D365C4">
        <w:rPr>
          <w:color w:val="000000" w:themeColor="text1"/>
          <w:sz w:val="28"/>
          <w:szCs w:val="28"/>
        </w:rPr>
        <w:t xml:space="preserve">депутаты Совета депутатов Гусинского сельского поселения Краснинского района Смоленской области Басова Елена Станиславовна, </w:t>
      </w:r>
      <w:proofErr w:type="spellStart"/>
      <w:r w:rsidR="00D365C4" w:rsidRPr="00D365C4">
        <w:rPr>
          <w:color w:val="000000" w:themeColor="text1"/>
          <w:sz w:val="28"/>
          <w:szCs w:val="28"/>
        </w:rPr>
        <w:t>Зазнов</w:t>
      </w:r>
      <w:proofErr w:type="spellEnd"/>
      <w:r w:rsidR="00D365C4" w:rsidRPr="00D365C4">
        <w:rPr>
          <w:color w:val="000000" w:themeColor="text1"/>
          <w:sz w:val="28"/>
          <w:szCs w:val="28"/>
        </w:rPr>
        <w:t xml:space="preserve"> Владимир Михайлович, </w:t>
      </w:r>
      <w:proofErr w:type="spellStart"/>
      <w:r w:rsidR="0014243A" w:rsidRPr="00D365C4">
        <w:rPr>
          <w:color w:val="000000" w:themeColor="text1"/>
          <w:sz w:val="28"/>
          <w:szCs w:val="28"/>
        </w:rPr>
        <w:t>Лавренкова</w:t>
      </w:r>
      <w:proofErr w:type="spellEnd"/>
      <w:r w:rsidR="0014243A" w:rsidRPr="00D365C4">
        <w:rPr>
          <w:color w:val="000000" w:themeColor="text1"/>
          <w:sz w:val="28"/>
          <w:szCs w:val="28"/>
        </w:rPr>
        <w:t xml:space="preserve"> Елена Вячеславовна, Леонова Жанна Дмитриевна, </w:t>
      </w:r>
      <w:proofErr w:type="spellStart"/>
      <w:r w:rsidR="00D365C4" w:rsidRPr="00D365C4">
        <w:rPr>
          <w:color w:val="000000" w:themeColor="text1"/>
          <w:sz w:val="28"/>
          <w:szCs w:val="28"/>
        </w:rPr>
        <w:t>Листопадова</w:t>
      </w:r>
      <w:proofErr w:type="spellEnd"/>
      <w:r w:rsidR="00D365C4" w:rsidRPr="00D365C4">
        <w:rPr>
          <w:color w:val="000000" w:themeColor="text1"/>
          <w:sz w:val="28"/>
          <w:szCs w:val="28"/>
        </w:rPr>
        <w:t xml:space="preserve"> Мария Леонидовна,  </w:t>
      </w:r>
      <w:r w:rsidR="0014243A" w:rsidRPr="00D365C4">
        <w:rPr>
          <w:color w:val="000000" w:themeColor="text1"/>
          <w:sz w:val="28"/>
          <w:szCs w:val="28"/>
        </w:rPr>
        <w:t>Новосельцева Людмила Васильевна, Пожилова Ольга Петровна и Старовойтов Александр Евгеньевич подали уведомления об отсутствии сделок, предусмотренных частью 1 статьи 3 Федерального закона от 3 декабря 2012 года № 230-ФЗ «О контроле</w:t>
      </w:r>
      <w:proofErr w:type="gramEnd"/>
      <w:r w:rsidR="0014243A" w:rsidRPr="00D365C4">
        <w:rPr>
          <w:color w:val="000000" w:themeColor="text1"/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</w:t>
      </w:r>
      <w:r w:rsidR="000444C5" w:rsidRPr="00D365C4">
        <w:rPr>
          <w:color w:val="000000" w:themeColor="text1"/>
          <w:sz w:val="28"/>
          <w:szCs w:val="28"/>
        </w:rPr>
        <w:t>.</w:t>
      </w: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0444C5" w:rsidP="009A5983">
      <w:pPr>
        <w:suppressAutoHyphens/>
        <w:jc w:val="both"/>
      </w:pPr>
      <w:r>
        <w:t>____________________________________________________________________________________________________________________________________________________</w:t>
      </w: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C6F9D" w:rsidRDefault="009C6F9D" w:rsidP="009A5983">
      <w:pPr>
        <w:suppressAutoHyphens/>
        <w:jc w:val="both"/>
      </w:pPr>
    </w:p>
    <w:p w:rsidR="009A5983" w:rsidRDefault="009A5983" w:rsidP="009A5983">
      <w:pPr>
        <w:suppressAutoHyphens/>
        <w:jc w:val="both"/>
      </w:pPr>
      <w:proofErr w:type="gramStart"/>
      <w:r>
        <w:t>__________</w:t>
      </w:r>
      <w:r>
        <w:rPr>
          <w:b/>
        </w:rPr>
        <w:t>*</w:t>
      </w:r>
      <w:r>
        <w:t xml:space="preserve">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лицом, замещающим муниципальную должность,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иобязательствах</w:t>
      </w:r>
      <w:proofErr w:type="gramEnd"/>
      <w:r>
        <w:t xml:space="preserve"> имущественного характера (далее - отчетный период),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9A5983" w:rsidRDefault="009A5983" w:rsidP="009A5983">
      <w:pPr>
        <w:pStyle w:val="ConsPlusNormal"/>
        <w:ind w:right="-31" w:firstLine="540"/>
        <w:jc w:val="both"/>
      </w:pPr>
      <w:proofErr w:type="gramStart"/>
      <w:r>
        <w:t>**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лицом, замещающим муниципальную должность, его супругой (супругом) и (или) несовершеннолетними детьми в течение отчетного периода, превышает общий доход лица, замещающего муниципальную должность, и его супруги</w:t>
      </w:r>
      <w:proofErr w:type="gramEnd"/>
      <w:r>
        <w:t xml:space="preserve"> (супруга) за три последних года, предшествующих отчетному периоду.</w:t>
      </w:r>
    </w:p>
    <w:p w:rsidR="009A5983" w:rsidRDefault="009A5983" w:rsidP="009A5983"/>
    <w:p w:rsidR="009A5983" w:rsidRDefault="009A5983" w:rsidP="009A5983"/>
    <w:p w:rsidR="00E32BFD" w:rsidRDefault="00E32BFD"/>
    <w:sectPr w:rsidR="00E32BFD" w:rsidSect="00D16D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83"/>
    <w:rsid w:val="000444C5"/>
    <w:rsid w:val="0014243A"/>
    <w:rsid w:val="00144623"/>
    <w:rsid w:val="0017514D"/>
    <w:rsid w:val="001838FA"/>
    <w:rsid w:val="00280322"/>
    <w:rsid w:val="00281D4C"/>
    <w:rsid w:val="002D004A"/>
    <w:rsid w:val="00351F6F"/>
    <w:rsid w:val="00367E59"/>
    <w:rsid w:val="004155A2"/>
    <w:rsid w:val="00500BB6"/>
    <w:rsid w:val="00535291"/>
    <w:rsid w:val="00542CE7"/>
    <w:rsid w:val="006B77AE"/>
    <w:rsid w:val="007A3F4F"/>
    <w:rsid w:val="007B4D19"/>
    <w:rsid w:val="00832FA4"/>
    <w:rsid w:val="00976D86"/>
    <w:rsid w:val="009A40C5"/>
    <w:rsid w:val="009A5983"/>
    <w:rsid w:val="009C6F9D"/>
    <w:rsid w:val="009F3278"/>
    <w:rsid w:val="00A84EEA"/>
    <w:rsid w:val="00AA2BA5"/>
    <w:rsid w:val="00AC5E15"/>
    <w:rsid w:val="00B83542"/>
    <w:rsid w:val="00BF08AC"/>
    <w:rsid w:val="00C96FFA"/>
    <w:rsid w:val="00CA0873"/>
    <w:rsid w:val="00CE4948"/>
    <w:rsid w:val="00D365C4"/>
    <w:rsid w:val="00D77DA5"/>
    <w:rsid w:val="00E32BFD"/>
    <w:rsid w:val="00E447F5"/>
    <w:rsid w:val="00ED2A3D"/>
    <w:rsid w:val="00F0263B"/>
    <w:rsid w:val="00F25F6F"/>
    <w:rsid w:val="00F6498E"/>
    <w:rsid w:val="00FC2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F05C7-B94A-417B-8FC4-D4E7095E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2021-05-13T13:39:00Z</dcterms:created>
  <dcterms:modified xsi:type="dcterms:W3CDTF">2021-05-14T06:50:00Z</dcterms:modified>
</cp:coreProperties>
</file>